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津市市行政审批服务局</w:t>
      </w:r>
    </w:p>
    <w:p>
      <w:pPr>
        <w:spacing w:line="600" w:lineRule="exact"/>
        <w:jc w:val="center"/>
        <w:rPr>
          <w:rFonts w:eastAsia="方正小标宋_GBK"/>
          <w:sz w:val="32"/>
          <w:szCs w:val="32"/>
        </w:rPr>
      </w:pPr>
      <w:r>
        <w:rPr>
          <w:rFonts w:hint="eastAsia" w:ascii="方正小标宋简体" w:hAnsi="方正小标宋简体" w:eastAsia="方正小标宋简体" w:cs="方正小标宋简体"/>
          <w:kern w:val="2"/>
          <w:sz w:val="44"/>
          <w:szCs w:val="44"/>
          <w:lang w:val="en-US" w:eastAsia="zh-CN" w:bidi="ar-SA"/>
        </w:rPr>
        <w:t>2021年度部门整体支出绩效报告</w:t>
      </w:r>
    </w:p>
    <w:p>
      <w:pPr>
        <w:spacing w:line="600" w:lineRule="exact"/>
        <w:jc w:val="center"/>
        <w:rPr>
          <w:rFonts w:eastAsia="方正小标宋_GBK"/>
          <w:sz w:val="32"/>
          <w:szCs w:val="32"/>
        </w:rPr>
      </w:pP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50" w:lineRule="exact"/>
        <w:ind w:firstLine="640" w:firstLineChars="200"/>
        <w:jc w:val="both"/>
        <w:textAlignment w:val="auto"/>
        <w:rPr>
          <w:rFonts w:hint="eastAsia" w:ascii="Times New Roman" w:hAnsi="Times New Roman" w:eastAsia="楷体_GB2312" w:cs="Times New Roman"/>
          <w:b w:val="0"/>
          <w:bCs w:val="0"/>
          <w:kern w:val="2"/>
          <w:sz w:val="32"/>
          <w:szCs w:val="32"/>
          <w:lang w:val="en-US" w:eastAsia="zh-CN" w:bidi="ar-SA"/>
        </w:rPr>
      </w:pPr>
      <w:r>
        <w:rPr>
          <w:rFonts w:hint="eastAsia" w:ascii="Times New Roman" w:hAnsi="Times New Roman" w:eastAsia="楷体_GB2312" w:cs="Times New Roman"/>
          <w:b w:val="0"/>
          <w:bCs w:val="0"/>
          <w:kern w:val="2"/>
          <w:sz w:val="32"/>
          <w:szCs w:val="32"/>
          <w:lang w:val="en-US" w:eastAsia="zh-CN" w:bidi="ar-SA"/>
        </w:rPr>
        <w:t>（一）基本情况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津市市行政审批服务局是全额拨款的一级预算单位，归口管理津市人民政府政务服务中心（副科级公益一类、财务未独立）和津市大数据服务中心 （股级公益一类）2个事业单位。局机关核定行政编制6个，实有工作人员4人。其中：局长1名，副局长2名。内设3个股室1个办公室，即政务公开办、行政审批制度改革办、数据管理办和办公室。津市人民政府政务服务中心核定全额拨款事业编制3个，实有工作人员1名。其中：实配主任1名。大数据服务中心核定全额拨款事业编制4个，实有工作人员4名。</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50" w:lineRule="exact"/>
        <w:ind w:firstLine="640" w:firstLineChars="200"/>
        <w:jc w:val="both"/>
        <w:textAlignment w:val="auto"/>
        <w:rPr>
          <w:rFonts w:hint="eastAsia" w:ascii="Times New Roman" w:hAnsi="Times New Roman" w:eastAsia="楷体_GB2312" w:cs="Times New Roman"/>
          <w:b w:val="0"/>
          <w:bCs w:val="0"/>
          <w:kern w:val="2"/>
          <w:sz w:val="32"/>
          <w:szCs w:val="32"/>
          <w:lang w:val="en-US" w:eastAsia="zh-CN" w:bidi="ar-SA"/>
        </w:rPr>
      </w:pPr>
      <w:r>
        <w:rPr>
          <w:rFonts w:hint="eastAsia" w:ascii="Times New Roman" w:hAnsi="Times New Roman" w:eastAsia="楷体_GB2312" w:cs="Times New Roman"/>
          <w:b w:val="0"/>
          <w:bCs w:val="0"/>
          <w:kern w:val="2"/>
          <w:sz w:val="32"/>
          <w:szCs w:val="32"/>
          <w:lang w:val="en-US" w:eastAsia="zh-CN" w:bidi="ar-SA"/>
        </w:rPr>
        <w:t>（二）工作职责</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1.贯彻落实中央、省、常德市关于政务服务、数据管理工作的方针政策和决策部署，拟订相关发展规划、年度计划和措施办法并组织实施。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2.推进、指导、协调、监督全市政务公开（政府信息公开、办事公开）和政务服务体系建设，组织集中开展政务服务。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3.牵头负责全市“放管服”改革工作；指导、协调、推进全市行政审批制度改革工作。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4.统筹协调、规划指导、监督评估全市电子政务工作；统筹推进、监督协调全市“互联网+政务服务”工作。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5.负责全市政府网站、政务新媒体发展的统筹规划和监督考核，指导市政府网站建设。</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6.负责智慧城市建设的组织、指导、协调和管理。</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7.负责市本级财政性资金建设信息化工程的统筹规划、立项审批、技术评审、施工监管、竣工验收和绩效评估。</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8.完成市委、市政府交办的其他事项。</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2021年我局决算基本支出为517.85万元。其中工资福利支出133.78万元，商品和服务支出266.93万元，资本性支出116.84万元，对个人和家庭的补助0.3万元。</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1.工资福利支出133.78万元，主要是为完成日常工作任务而发生的支出，包括人员经费和公用经费。 </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2.商品和服务支出 266.93万元。主要包括办公费、印刷费、水费、电费、物业管理费、差旅费、维修（护）费、培训费、公务接待费、劳务费、工会经费、其他交通费用、其他商品和服务支出。</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3.资本性支出116.84万元，主要是专用设备购置支出。</w:t>
      </w:r>
    </w:p>
    <w:p>
      <w:pPr>
        <w:pStyle w:val="2"/>
        <w:rPr>
          <w:rFonts w:hint="default"/>
          <w:lang w:val="en-US" w:eastAsia="zh-CN"/>
        </w:rPr>
      </w:pPr>
      <w:r>
        <w:rPr>
          <w:rFonts w:hint="eastAsia" w:ascii="Times New Roman" w:hAnsi="Times New Roman" w:eastAsia="仿宋_GB2312" w:cs="Times New Roman"/>
          <w:kern w:val="2"/>
          <w:sz w:val="32"/>
          <w:szCs w:val="32"/>
          <w:lang w:val="en-US" w:eastAsia="zh-CN" w:bidi="ar-SA"/>
        </w:rPr>
        <w:t>4.对个人和家庭的补助0.3万元</w:t>
      </w:r>
      <w:r>
        <w:rPr>
          <w:rFonts w:hint="eastAsia" w:eastAsia="仿宋_GB2312" w:cs="Times New Roman"/>
          <w:kern w:val="2"/>
          <w:sz w:val="32"/>
          <w:szCs w:val="32"/>
          <w:lang w:val="en-US" w:eastAsia="zh-CN" w:bidi="ar-SA"/>
        </w:rPr>
        <w:t>。</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6"/>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2021年项目支出决算数108.10万元，其中：商品和服务支出全年共计108.10万元。 项目支出主要是指单位为完成特定行政工作任务或事业发展目标而发生的支出，包括有关业务工作经费和运行维护经费。主要用于电子政务外网线路及信息化建设维护及设备维修维护等方面。</w:t>
      </w:r>
    </w:p>
    <w:p>
      <w:pPr>
        <w:pStyle w:val="6"/>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val="en-US" w:eastAsia="zh-CN"/>
        </w:rPr>
        <w:t>三、</w:t>
      </w:r>
      <w:r>
        <w:rPr>
          <w:rFonts w:ascii="Times New Roman" w:hAnsi="Times New Roman" w:eastAsia="黑体"/>
          <w:sz w:val="32"/>
          <w:szCs w:val="32"/>
        </w:rPr>
        <w:t>政府性基金预算支出情况</w:t>
      </w:r>
    </w:p>
    <w:p>
      <w:pPr>
        <w:pStyle w:val="6"/>
        <w:widowControl/>
        <w:numPr>
          <w:ilvl w:val="0"/>
          <w:numId w:val="0"/>
        </w:numPr>
        <w:spacing w:line="600" w:lineRule="exact"/>
        <w:ind w:left="640" w:leftChars="0"/>
        <w:jc w:val="left"/>
        <w:rPr>
          <w:rFonts w:hint="eastAsia" w:ascii="Times New Roman" w:hAnsi="Times New Roman" w:eastAsia="黑体"/>
          <w:sz w:val="32"/>
          <w:szCs w:val="32"/>
          <w:lang w:val="en-US" w:eastAsia="zh-CN"/>
        </w:rPr>
      </w:pPr>
      <w:r>
        <w:rPr>
          <w:rFonts w:hint="eastAsia" w:ascii="Times New Roman" w:hAnsi="Times New Roman" w:eastAsia="仿宋_GB2312" w:cs="Times New Roman"/>
          <w:kern w:val="2"/>
          <w:sz w:val="32"/>
          <w:szCs w:val="32"/>
          <w:lang w:val="en-US" w:eastAsia="zh-CN" w:bidi="ar-SA"/>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45"/>
        <w:jc w:val="left"/>
        <w:rPr>
          <w:rFonts w:eastAsia="仿宋_GB2312"/>
          <w:color w:val="000000"/>
          <w:sz w:val="32"/>
          <w:szCs w:val="32"/>
        </w:rPr>
      </w:pPr>
      <w:r>
        <w:rPr>
          <w:rFonts w:hint="eastAsia" w:eastAsia="仿宋_GB2312"/>
          <w:color w:val="000000"/>
          <w:sz w:val="32"/>
          <w:szCs w:val="32"/>
        </w:rPr>
        <w:t>为进一步加快全市“放管服”和“一件事一次办”改革，全力打造“无证明城市”，促进行政审批效率不断提速、内部管理不断加强、政务服务形象不断提升。通过加强预算收支管理，规范财务程序，严格遵守财经纪律。</w:t>
      </w:r>
    </w:p>
    <w:p>
      <w:pPr>
        <w:pStyle w:val="6"/>
        <w:widowControl/>
        <w:numPr>
          <w:ilvl w:val="0"/>
          <w:numId w:val="2"/>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存在的问题及原因分析</w:t>
      </w:r>
    </w:p>
    <w:p>
      <w:pPr>
        <w:keepNext w:val="0"/>
        <w:keepLines w:val="0"/>
        <w:pageBreakBefore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1.执行项目预算绩效管理时，对项目建设内容和程序</w:t>
      </w:r>
      <w:bookmarkStart w:id="0" w:name="_GoBack"/>
      <w:bookmarkEnd w:id="0"/>
      <w:r>
        <w:rPr>
          <w:rFonts w:hint="eastAsia" w:eastAsia="仿宋_GB2312" w:cs="Times New Roman"/>
          <w:kern w:val="2"/>
          <w:sz w:val="32"/>
          <w:szCs w:val="32"/>
          <w:lang w:val="en-US" w:eastAsia="zh-CN" w:bidi="ar-SA"/>
        </w:rPr>
        <w:t xml:space="preserve">  把握不准，相应的绩效指标涉及不到位，难以科学把握。</w:t>
      </w:r>
    </w:p>
    <w:p>
      <w:pPr>
        <w:pStyle w:val="2"/>
        <w:numPr>
          <w:numId w:val="0"/>
        </w:numPr>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eastAsia" w:eastAsia="仿宋_GB2312" w:cs="Times New Roman"/>
          <w:kern w:val="2"/>
          <w:sz w:val="32"/>
          <w:szCs w:val="32"/>
          <w:lang w:val="en-US" w:eastAsia="zh-CN" w:bidi="ar-SA"/>
        </w:rPr>
        <w:t>年中调整预算数较大，导致部门年初预算数与决算数存在一定差异。</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1.进一步提升预算管理的科学性，增强大局意识，提高预算编制合理性。</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.细化预算编制工作，科学规划预算编制的精确度，提高财政资金使用效率，</w:t>
      </w:r>
      <w:r>
        <w:rPr>
          <w:rFonts w:hint="eastAsia" w:eastAsia="仿宋_GB2312" w:cs="Times New Roman"/>
          <w:kern w:val="2"/>
          <w:sz w:val="32"/>
          <w:szCs w:val="32"/>
          <w:lang w:val="en-US" w:eastAsia="zh-CN" w:bidi="ar-SA"/>
        </w:rPr>
        <w:t>减少年中预算追加。</w:t>
      </w:r>
      <w:r>
        <w:rPr>
          <w:rFonts w:hint="eastAsia" w:ascii="Times New Roman" w:hAnsi="Times New Roman" w:eastAsia="仿宋_GB2312" w:cs="Times New Roman"/>
          <w:kern w:val="2"/>
          <w:sz w:val="32"/>
          <w:szCs w:val="32"/>
          <w:lang w:val="en-US" w:eastAsia="zh-CN" w:bidi="ar-SA"/>
        </w:rPr>
        <w:t>加强内部预算编制的审核和预算控制指标的下达，尽量减少预算资金的调整、结转和结余的情形。</w:t>
      </w:r>
    </w:p>
    <w:p>
      <w:pPr>
        <w:pStyle w:val="2"/>
        <w:rPr>
          <w:rFonts w:hint="default"/>
          <w:lang w:val="en-US" w:eastAsia="zh-CN"/>
        </w:rPr>
      </w:pPr>
      <w:r>
        <w:rPr>
          <w:rFonts w:hint="eastAsia" w:eastAsia="仿宋_GB2312" w:cs="Times New Roman"/>
          <w:kern w:val="2"/>
          <w:sz w:val="32"/>
          <w:szCs w:val="32"/>
          <w:lang w:val="en-US" w:eastAsia="zh-CN" w:bidi="ar-SA"/>
        </w:rPr>
        <w:t>3.明确各手指流程步骤上的关键控制措施，防范支出业务活动的相关奉献，确保支出管理规范有序。</w:t>
      </w:r>
    </w:p>
    <w:p>
      <w:pPr>
        <w:widowControl/>
        <w:numPr>
          <w:ilvl w:val="0"/>
          <w:numId w:val="3"/>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pStyle w:val="2"/>
        <w:numPr>
          <w:ilvl w:val="0"/>
          <w:numId w:val="0"/>
        </w:numPr>
        <w:ind w:left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无</w:t>
      </w:r>
      <w:r>
        <w:rPr>
          <w:rFonts w:hint="eastAsia" w:eastAsia="仿宋_GB2312" w:cs="Times New Roman"/>
          <w:kern w:val="2"/>
          <w:sz w:val="32"/>
          <w:szCs w:val="32"/>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65706"/>
    <w:multiLevelType w:val="singleLevel"/>
    <w:tmpl w:val="CC965706"/>
    <w:lvl w:ilvl="0" w:tentative="0">
      <w:start w:val="6"/>
      <w:numFmt w:val="chineseCounting"/>
      <w:suff w:val="nothing"/>
      <w:lvlText w:val="%1、"/>
      <w:lvlJc w:val="left"/>
      <w:rPr>
        <w:rFonts w:hint="eastAsia"/>
      </w:rPr>
    </w:lvl>
  </w:abstractNum>
  <w:abstractNum w:abstractNumId="1">
    <w:nsid w:val="DB8CE1C8"/>
    <w:multiLevelType w:val="singleLevel"/>
    <w:tmpl w:val="DB8CE1C8"/>
    <w:lvl w:ilvl="0" w:tentative="0">
      <w:start w:val="5"/>
      <w:numFmt w:val="chineseCounting"/>
      <w:suff w:val="nothing"/>
      <w:lvlText w:val="%1、"/>
      <w:lvlJc w:val="left"/>
      <w:rPr>
        <w:rFonts w:hint="eastAsia"/>
      </w:rPr>
    </w:lvl>
  </w:abstractNum>
  <w:abstractNum w:abstractNumId="2">
    <w:nsid w:val="1CC1D284"/>
    <w:multiLevelType w:val="singleLevel"/>
    <w:tmpl w:val="1CC1D28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A076E09"/>
    <w:rsid w:val="3B8F3226"/>
    <w:rsid w:val="483A7A2E"/>
    <w:rsid w:val="4F686156"/>
    <w:rsid w:val="5A9D5D9B"/>
    <w:rsid w:val="745E5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1334</Words>
  <Characters>1406</Characters>
  <Lines>0</Lines>
  <Paragraphs>0</Paragraphs>
  <TotalTime>16</TotalTime>
  <ScaleCrop>false</ScaleCrop>
  <LinksUpToDate>false</LinksUpToDate>
  <CharactersWithSpaces>1412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NTKO</cp:lastModifiedBy>
  <dcterms:modified xsi:type="dcterms:W3CDTF">2022-04-01T07:51:24Z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